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31"/>
    <w:p>
      <w:pPr>
        <w:pStyle w:val="Heading1"/>
      </w:pPr>
      <w:r>
        <w:t xml:space="preserve">Homiletics Analysis: Deuteronomy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Deuteronomy 31 belongs to the closing movement of the book (chapters 29–34), which constitutes Moses’ final words and acts before his death and Israel’s entry into Canaan. The broader unit functions as a formal covenant renewal and succession ceremony: Moses transfers leadership, deposits the Torah, appoints Joshua, summons witnesses, and anticipates Israel’s future apostasy. Within this unit, chapter 31 is the hinge — the transition chapter where all of these acts are performed in sequence. It does not merely report a leadership change; it prepares Israel and Joshua for a future that will include both God’s faithfulness and Israel’s failure.</w:t>
      </w:r>
    </w:p>
    <w:p>
      <w:pPr>
        <w:pStyle w:val="BodyText"/>
      </w:pPr>
      <w:r>
        <w:rPr>
          <w:b/>
          <w:bCs/>
        </w:rPr>
        <w:t xml:space="preserve">This Text — Content:</w:t>
      </w:r>
      <w:r>
        <w:t xml:space="preserve"> </w:t>
      </w:r>
      <w:r>
        <w:t xml:space="preserve">Chapter 31 moves through five distinct acts. First, Moses delivers a farewell charge to all Israel, grounding his exhortation in two realities: his own advancing age and incapacity (v. 2) and the certainty of God’s continued presence and action on Israel’s behalf (vv. 3–6). Second, Moses charges Joshua publicly before all Israel with the same two-part ground (vv. 7–8). Third, Moses delivers the written Torah to the Levitical priests and the elders, commanding its regular public reading at the Feast of Booths every seventh (Sabbatical) year, so that all Israel — men, women, children, and resident aliens — will hear, learn, fear, and obey (vv. 9–13). Fourth, the LORD summons Moses and Joshua to the tent of meeting, commissions Joshua directly, and delivers a sobering prophetic disclosure: Israel will break the covenant after entering the land, provoking God’s wrath and experiencing the consequences of abandonment (vv. 14–22). Fifth, Moses completes the writing of the Torah, delivers it to the Levites for safekeeping beside the ark, and teaches the Song of Moses to Israel as a witness against their future unfaithfulness (vv. 24–30).</w:t>
      </w:r>
    </w:p>
    <w:p>
      <w:pPr>
        <w:pStyle w:val="BodyText"/>
      </w:pPr>
      <w:r>
        <w:rPr>
          <w:b/>
          <w:bCs/>
        </w:rPr>
        <w:t xml:space="preserve">This Text — Intent:</w:t>
      </w:r>
      <w:r>
        <w:t xml:space="preserve"> </w:t>
      </w:r>
      <w:r>
        <w:t xml:space="preserve">God is seeking through this chapter to establish the grounds for Israel’s stability and perseverance in the face of two looming threats: the loss of Moses and the certainty of their own future failure. The chapter does not allow either of these threats to be minimized — Moses is dying, and Israel will apostatize. But God is seeking to ensure that neither reality will be the last word. His presence with Joshua, His deposited Word, His sovereign foreknowledge of Israel’s failure, and His pre-commissioned witness (the Song) together constitute a framework within which Israel can live faithfully even in the face of acknowledged fragility. God is also seeking to establish in Joshua — and in every leader who follows — that leadership under God is possible precisely because God himself leads, fights, and goes before.</w:t>
      </w:r>
    </w:p>
    <w:p>
      <w:r>
        <w:pict>
          <v:rect style="width:0;height:1.5pt" o:hralign="center" o:hrstd="t" o:hr="t"/>
        </w:pict>
      </w:r>
    </w:p>
    <w:p>
      <w:pPr>
        <w:pStyle w:val="FirstParagraph"/>
      </w:pPr>
      <w:r>
        <w:rPr>
          <w:b/>
          <w:bCs/>
        </w:rPr>
        <w:t xml:space="preserve">Subject Sentence:</w:t>
      </w:r>
      <w:r>
        <w:t xml:space="preserve"> </w:t>
      </w:r>
      <w:r>
        <w:t xml:space="preserve">God transfers leadership and deposits His Word to sustain Israel through succession, failure, and the future.</w:t>
      </w:r>
    </w:p>
    <w:p>
      <w:r>
        <w:pict>
          <v:rect style="width:0;height:1.5pt" o:hralign="center" o:hrstd="t" o:hr="t"/>
        </w:pict>
      </w:r>
    </w:p>
    <w:p>
      <w:pPr>
        <w:pStyle w:val="FirstParagraph"/>
      </w:pPr>
      <w:r>
        <w:rPr>
          <w:b/>
          <w:bCs/>
        </w:rPr>
        <w:t xml:space="preserve">Primary Claim:</w:t>
      </w:r>
      <w:r>
        <w:t xml:space="preserve"> </w:t>
      </w:r>
      <w:r>
        <w:t xml:space="preserve">God is assuring both Israel and her new leader that His own presence — not human constancy — is the ground of confidence for the road ahead; and He is doing so while refusing to pretend that human failure is not coming, but rather embedding within Israel’s life the very Word and witness that will outlast that failure.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divine foreknowledge in verses 16–21 and the question of determinism.</w:t>
      </w:r>
      <w:r>
        <w:t xml:space="preserve"> </w:t>
      </w:r>
      <w:r>
        <w:t xml:space="preserve">The LORD’s declaration in verses 16–21 — that Israel</w:t>
      </w:r>
      <w:r>
        <w:t xml:space="preserve"> </w:t>
      </w:r>
      <w:r>
        <w:rPr>
          <w:i/>
          <w:iCs/>
        </w:rPr>
        <w:t xml:space="preserve">will</w:t>
      </w:r>
      <w:r>
        <w:t xml:space="preserve"> </w:t>
      </w:r>
      <w:r>
        <w:t xml:space="preserve">corrupt herself, will forsake God, and that God’s anger</w:t>
      </w:r>
      <w:r>
        <w:t xml:space="preserve"> </w:t>
      </w:r>
      <w:r>
        <w:rPr>
          <w:i/>
          <w:iCs/>
        </w:rPr>
        <w:t xml:space="preserve">will</w:t>
      </w:r>
      <w:r>
        <w:t xml:space="preserve"> </w:t>
      </w:r>
      <w:r>
        <w:t xml:space="preserve">be kindled — raises the question whether this amounts to a divine decree of apostasy or a divine foreknowledge of it. Arminian and Wesleyan interpreters typically resolve this by emphasizing Israel’s genuine freedom: God foreknows what they will freely choose without compelling that choice. This reading helpfully preserves human responsibility and honors the genuine moral weight of the warnings throughout Deuteronomy. However, it risks treating foreknowledge as a passive form of observation, effectively removing the element of divine governance from the picture.</w:t>
      </w:r>
    </w:p>
    <w:p>
      <w:pPr>
        <w:pStyle w:val="BodyText"/>
      </w:pPr>
      <w:r>
        <w:t xml:space="preserve">The Reformed reading does not require affirming that God caused Israel’s sin — only that He governs history comprehensively, including Israel’s failure. The text presents God’s disclosure not as an anxious disclosure of a future He cannot prevent but as a sovereign framing of a future He will navigate redemptively. Crucially, the response to this foreknowledge is not resignation but the deposit of instruments — the Torah (v. 26), the Song (v. 19) — precisely as witnesses that will function</w:t>
      </w:r>
      <w:r>
        <w:t xml:space="preserve"> </w:t>
      </w:r>
      <w:r>
        <w:rPr>
          <w:i/>
          <w:iCs/>
        </w:rPr>
        <w:t xml:space="preserve">after</w:t>
      </w:r>
      <w:r>
        <w:t xml:space="preserve"> </w:t>
      </w:r>
      <w:r>
        <w:t xml:space="preserve">the failure. The foreknowledge is thus redemptively purposeful, not merely predictive. The Reformed reading best accounts for the combination of</w:t>
      </w:r>
      <w:r>
        <w:t xml:space="preserve"> </w:t>
      </w:r>
      <w:r>
        <w:rPr>
          <w:i/>
          <w:iCs/>
        </w:rPr>
        <w:t xml:space="preserve">sovereign disclosure</w:t>
      </w:r>
      <w:r>
        <w:t xml:space="preserve"> </w:t>
      </w:r>
      <w:r>
        <w:t xml:space="preserve">and</w:t>
      </w:r>
      <w:r>
        <w:t xml:space="preserve"> </w:t>
      </w:r>
      <w:r>
        <w:rPr>
          <w:i/>
          <w:iCs/>
        </w:rPr>
        <w:t xml:space="preserve">redemptive provision</w:t>
      </w:r>
      <w:r>
        <w:t xml:space="preserve"> </w:t>
      </w:r>
      <w:r>
        <w:t xml:space="preserve">in the same passage.</w:t>
      </w:r>
    </w:p>
    <w:p>
      <w:pPr>
        <w:pStyle w:val="BodyText"/>
      </w:pPr>
      <w:r>
        <w:rPr>
          <w:b/>
          <w:bCs/>
        </w:rPr>
        <w:t xml:space="preserve">The commissioning of Joshua and the nature of</w:t>
      </w:r>
      <w:r>
        <w:rPr>
          <w:b/>
          <w:bCs/>
        </w:rPr>
        <w:t xml:space="preserve"> </w:t>
      </w:r>
      <w:r>
        <w:rPr>
          <w:b/>
          <w:bCs/>
        </w:rPr>
        <w:t xml:space="preserve">“be strong and courageous.”</w:t>
      </w:r>
      <w:r>
        <w:t xml:space="preserve"> </w:t>
      </w:r>
      <w:r>
        <w:t xml:space="preserve">Some Baptist and broadly evangelical interpreters read the charge to Joshua as primarily a model of faithful, courageous leadership for contemporary application — Joshua as the template for bold Christian ministry. This reading is not wrong in its application but misses the grammatical-theological engine of the charge. The ground for courage in verse 8 is not Joshua’s inner resolve but the LORD’s going before and not forsaking. The imperative rests entirely on the indicative. A purely exemplary reading (Joshua modeled courage; therefore, model courage) reduces the text to moral exhortation and severs the application from its power source — namely, the same divine presence that accompanied Joshua now accompanies the church through the Spirit. The Reformed reading insists that the indicative (</w:t>
      </w:r>
      <w:r>
        <w:t xml:space="preserve">“the LORD himself goes before you”</w:t>
      </w:r>
      <w:r>
        <w:t xml:space="preserve">) must govern the imperative (</w:t>
      </w:r>
      <w:r>
        <w:t xml:space="preserve">“be strong”</w:t>
      </w:r>
      <w:r>
        <w:t xml:space="preserve">), not the reverse.</w:t>
      </w:r>
    </w:p>
    <w:p>
      <w:pPr>
        <w:pStyle w:val="BodyText"/>
      </w:pPr>
      <w:r>
        <w:rPr>
          <w:b/>
          <w:bCs/>
        </w:rPr>
        <w:t xml:space="preserve">The public reading of the Torah (vv. 9–13) and contemporary debates about the ministry of the Word.</w:t>
      </w:r>
      <w:r>
        <w:t xml:space="preserve"> </w:t>
      </w:r>
      <w:r>
        <w:t xml:space="preserve">Pentecostal and charismatic interpreters sometimes subordinate the written and publicly read Word to the immediate work of the Spirit, treating the deposited Torah as an essentially Old Covenant form superseded by direct spiritual experience. This reads the passage against its own grain: the Torah is deposited</w:t>
      </w:r>
      <w:r>
        <w:t xml:space="preserve"> </w:t>
      </w:r>
      <w:r>
        <w:rPr>
          <w:i/>
          <w:iCs/>
        </w:rPr>
        <w:t xml:space="preserve">precisely because</w:t>
      </w:r>
      <w:r>
        <w:t xml:space="preserve"> </w:t>
      </w:r>
      <w:r>
        <w:t xml:space="preserve">Israel will fail and the Spirit-prompted leadership of Moses is not permanent. The written Word is the provision for when immediate prophetic leadership is absent. This is not Word against Spirit but Word as the enduring instrument of the Spirit’s work across generations. The Reformed reading aligns with the Reformation’s formal principle: the Word written and publicly proclaimed is the normative means by which God sustains His people — a pattern established here and confirmed in the New Testament (2 Timothy 3:16–17; Romans 10:17).</w:t>
      </w:r>
    </w:p>
    <w:p>
      <w:pPr>
        <w:pStyle w:val="BodyText"/>
      </w:pPr>
      <w:r>
        <w:rPr>
          <w:b/>
          <w:bCs/>
        </w:rPr>
        <w:t xml:space="preserve">No significant interpretive divergence</w:t>
      </w:r>
      <w:r>
        <w:t xml:space="preserve"> </w:t>
      </w:r>
      <w:r>
        <w:t xml:space="preserve">exists on the identity of Moses’ successor or the basic historicity of the succession account.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27:12–23</w:t>
      </w:r>
      <w:r>
        <w:t xml:space="preserve"> </w:t>
      </w:r>
      <w:r>
        <w:t xml:space="preserve">— The initial commissioning of Joshua, where the pattern of laying hands and transferring authority is established; Deuteronomy 31 completes and publicly ratifies what Numbers 27 began, grounding the succession in God’s direct appointment rather than human selection.</w:t>
      </w:r>
    </w:p>
    <w:p>
      <w:pPr>
        <w:numPr>
          <w:ilvl w:val="0"/>
          <w:numId w:val="1001"/>
        </w:numPr>
      </w:pPr>
      <w:r>
        <w:rPr>
          <w:b/>
          <w:bCs/>
        </w:rPr>
        <w:t xml:space="preserve">Joshua 1:1–9</w:t>
      </w:r>
      <w:r>
        <w:t xml:space="preserve"> </w:t>
      </w:r>
      <w:r>
        <w:t xml:space="preserve">— The LORD’s direct charge to Joshua after Moses’ death mirrors and fulfills the language of Deuteronomy 31:7–8 almost verbatim (</w:t>
      </w:r>
      <w:r>
        <w:t xml:space="preserve">“be strong and courageous… the LORD your God is with you wherever you go”</w:t>
      </w:r>
      <w:r>
        <w:t xml:space="preserve">), confirming that the Primary Claim of Deuteronomy 31 is not aspirational but effective — God does exactly what He announced He would do.</w:t>
      </w:r>
    </w:p>
    <w:p>
      <w:pPr>
        <w:numPr>
          <w:ilvl w:val="0"/>
          <w:numId w:val="1001"/>
        </w:numPr>
      </w:pPr>
      <w:r>
        <w:rPr>
          <w:b/>
          <w:bCs/>
        </w:rPr>
        <w:t xml:space="preserve">Nehemiah 8:1–12</w:t>
      </w:r>
      <w:r>
        <w:t xml:space="preserve"> </w:t>
      </w:r>
      <w:r>
        <w:t xml:space="preserve">— The public reading of the Torah before all the people — men, women, and those who could understand — precisely enacts the Deuteronomy 31:9–13 command in the post-exilic context, and with the same effect: the people hear, weep, and are called to worship. The Word-deposit of Deuteronomy 31 functions exactly as God designed it to function centuries later.</w:t>
      </w:r>
    </w:p>
    <w:p>
      <w:pPr>
        <w:numPr>
          <w:ilvl w:val="0"/>
          <w:numId w:val="1001"/>
        </w:numPr>
      </w:pPr>
      <w:r>
        <w:rPr>
          <w:b/>
          <w:bCs/>
        </w:rPr>
        <w:t xml:space="preserve">Romans 15:4</w:t>
      </w:r>
      <w:r>
        <w:t xml:space="preserve"> </w:t>
      </w:r>
      <w:r>
        <w:t xml:space="preserve">—</w:t>
      </w:r>
      <w:r>
        <w:t xml:space="preserve"> </w:t>
      </w:r>
      <w:r>
        <w:t xml:space="preserve">“Whatever was written in former days was written for our instruction, that through endurance and through the encouragement of the Scriptures we might have hope”</w:t>
      </w:r>
      <w:r>
        <w:t xml:space="preserve"> </w:t>
      </w:r>
      <w:r>
        <w:t xml:space="preserve">— the New Testament’s direct statement of the purpose of the deposited Word, confirming that the canonical function of the Torah-deposit (Deuteronomy 31:24–26) is not merely historical preservation but ongoing formation of the people of God.</w:t>
      </w:r>
    </w:p>
    <w:p>
      <w:pPr>
        <w:numPr>
          <w:ilvl w:val="0"/>
          <w:numId w:val="1001"/>
        </w:numPr>
      </w:pPr>
      <w:r>
        <w:rPr>
          <w:b/>
          <w:bCs/>
        </w:rPr>
        <w:t xml:space="preserve">Matthew 28:18–20</w:t>
      </w:r>
      <w:r>
        <w:t xml:space="preserve"> </w:t>
      </w:r>
      <w:r>
        <w:t xml:space="preserve">— Christ’s Great Commission repeats the deep structure of Deuteronomy 31: commission to a successor people (the disciples), a specific charge (go, make disciples), and the ground of the charge not in their own capacity but in His presence (</w:t>
      </w:r>
      <w:r>
        <w:t xml:space="preserve">“I am with you always, to the end of the age”</w:t>
      </w:r>
      <w:r>
        <w:t xml:space="preserve">). The</w:t>
      </w:r>
      <w:r>
        <w:t xml:space="preserve"> </w:t>
      </w:r>
      <w:r>
        <w:t xml:space="preserve">“be strong and courageous”</w:t>
      </w:r>
      <w:r>
        <w:t xml:space="preserve"> </w:t>
      </w:r>
      <w:r>
        <w:t xml:space="preserve">of Deuteronomy 31 finds its New Covenant form here, with the same logic: the presence of the Commander, not the courage of the commissioned, is the operative ground.</w:t>
      </w:r>
    </w:p>
    <w:p>
      <w:r>
        <w:pict>
          <v:rect style="width:0;height:1.5pt" o:hralign="center" o:hrstd="t" o:hr="t"/>
        </w:pict>
      </w:r>
    </w:p>
    <w:p>
      <w:pPr>
        <w:pStyle w:val="FirstParagraph"/>
      </w:pPr>
      <w:r>
        <w:rPr>
          <w:b/>
          <w:bCs/>
        </w:rPr>
        <w:t xml:space="preserve">Aim:</w:t>
      </w:r>
      <w:r>
        <w:t xml:space="preserve"> </w:t>
      </w:r>
      <w:r>
        <w:t xml:space="preserve">To demonstrate from this chapter that God’s people — individually and as a community — can move into an uncertain and failure-prone future with genuine confidence, not because they are equal to it, but because God has already gone before it, deposited His Word within it, and embedded His witness against the very failures He foreknew.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Moses addresses all Israel; acknowledges he is 120 years old and will not cross the Jordan</w:t>
            </w:r>
          </w:p>
        </w:tc>
        <w:tc>
          <w:tcPr/>
          <w:p>
            <w:pPr>
              <w:pStyle w:val="Compact"/>
            </w:pPr>
            <w:r>
              <w:t xml:space="preserve">“I am no longer able to go out and come in”</w:t>
            </w:r>
            <w:r>
              <w:t xml:space="preserve"> </w:t>
            </w:r>
            <w:r>
              <w:t xml:space="preserve">— physical diminishment, not merely legal prohibition; the human reality is plainly stated</w:t>
            </w:r>
          </w:p>
        </w:tc>
      </w:tr>
      <w:tr>
        <w:tc>
          <w:tcPr/>
          <w:p>
            <w:pPr>
              <w:pStyle w:val="Compact"/>
            </w:pPr>
            <w:r>
              <w:t xml:space="preserve">3–6</w:t>
            </w:r>
          </w:p>
        </w:tc>
        <w:tc>
          <w:tcPr/>
          <w:p>
            <w:pPr>
              <w:pStyle w:val="Compact"/>
            </w:pPr>
            <w:r>
              <w:t xml:space="preserve">Moses grounds the charge to Israel in the LORD’s action: He goes before, He fights for you, He will deal with the nations as He did with Sihon and Og</w:t>
            </w:r>
          </w:p>
        </w:tc>
        <w:tc>
          <w:tcPr/>
          <w:p>
            <w:pPr>
              <w:pStyle w:val="Compact"/>
            </w:pPr>
            <w:r>
              <w:t xml:space="preserve">The two examples (Sihon and Og) are not rhetorical flourish — they are the evidential basis for confidence about the future; past performance grounds present faith</w:t>
            </w:r>
          </w:p>
        </w:tc>
      </w:tr>
      <w:tr>
        <w:tc>
          <w:tcPr/>
          <w:p>
            <w:pPr>
              <w:pStyle w:val="Compact"/>
            </w:pPr>
            <w:r>
              <w:t xml:space="preserve">7–8</w:t>
            </w:r>
          </w:p>
        </w:tc>
        <w:tc>
          <w:tcPr/>
          <w:p>
            <w:pPr>
              <w:pStyle w:val="Compact"/>
            </w:pPr>
            <w:r>
              <w:t xml:space="preserve">Moses charges Joshua publicly before all Israel:</w:t>
            </w:r>
            <w:r>
              <w:t xml:space="preserve"> </w:t>
            </w:r>
            <w:r>
              <w:t xml:space="preserve">“Be strong and courageous… the LORD goes before you… He will not leave or forsake you; do not fear or be dismayed”</w:t>
            </w:r>
          </w:p>
        </w:tc>
        <w:tc>
          <w:tcPr/>
          <w:p>
            <w:pPr>
              <w:pStyle w:val="Compact"/>
            </w:pPr>
            <w:r>
              <w:t xml:space="preserve">The charge to Joshua is structurally identical to the charge to Israel — same grounds, same imperative, same promise; Joshua is not a superior version of Israel but stands under the same promise</w:t>
            </w:r>
          </w:p>
        </w:tc>
      </w:tr>
      <w:tr>
        <w:tc>
          <w:tcPr/>
          <w:p>
            <w:pPr>
              <w:pStyle w:val="Compact"/>
            </w:pPr>
            <w:r>
              <w:t xml:space="preserve">9–10</w:t>
            </w:r>
          </w:p>
        </w:tc>
        <w:tc>
          <w:tcPr/>
          <w:p>
            <w:pPr>
              <w:pStyle w:val="Compact"/>
            </w:pPr>
            <w:r>
              <w:t xml:space="preserve">Moses writes the Torah and delivers it to the Levitical priests and the elders of Israel; commands its reading every seventh year at the Feast of Booths</w:t>
            </w:r>
          </w:p>
        </w:tc>
        <w:tc>
          <w:tcPr/>
          <w:p>
            <w:pPr>
              <w:pStyle w:val="Compact"/>
            </w:pPr>
            <w:r>
              <w:t xml:space="preserve">The written deposit marks a transition: leadership is mortal, but the Word is not; the Feast of Booths (Tabernacles) setting is significant — a festival of covenant remembrance and dependence</w:t>
            </w:r>
          </w:p>
        </w:tc>
      </w:tr>
      <w:tr>
        <w:tc>
          <w:tcPr/>
          <w:p>
            <w:pPr>
              <w:pStyle w:val="Compact"/>
            </w:pPr>
            <w:r>
              <w:t xml:space="preserve">11–13</w:t>
            </w:r>
          </w:p>
        </w:tc>
        <w:tc>
          <w:tcPr/>
          <w:p>
            <w:pPr>
              <w:pStyle w:val="Compact"/>
            </w:pPr>
            <w:r>
              <w:t xml:space="preserve">Specifics of the public reading: all Israel (men, women, children, sojourners) must assemble to hear; purpose: that they may hear, learn, fear, and obey, and that their children may hear and learn to fear</w:t>
            </w:r>
          </w:p>
        </w:tc>
        <w:tc>
          <w:tcPr/>
          <w:p>
            <w:pPr>
              <w:pStyle w:val="Compact"/>
            </w:pPr>
            <w:r>
              <w:t xml:space="preserve">The comprehensiveness is striking — no class excluded; the chain: hear → learn → fear → obey; the intergenerational vision: what this generation receives, their children must also receive</w:t>
            </w:r>
          </w:p>
        </w:tc>
      </w:tr>
      <w:tr>
        <w:tc>
          <w:tcPr/>
          <w:p>
            <w:pPr>
              <w:pStyle w:val="Compact"/>
            </w:pPr>
            <w:r>
              <w:t xml:space="preserve">14–15</w:t>
            </w:r>
          </w:p>
        </w:tc>
        <w:tc>
          <w:tcPr/>
          <w:p>
            <w:pPr>
              <w:pStyle w:val="Compact"/>
            </w:pPr>
            <w:r>
              <w:t xml:space="preserve">The LORD summons Moses and Joshua to the tent of meeting; the LORD appears in the pillar of cloud at the entrance</w:t>
            </w:r>
          </w:p>
        </w:tc>
        <w:tc>
          <w:tcPr/>
          <w:p>
            <w:pPr>
              <w:pStyle w:val="Compact"/>
            </w:pPr>
            <w:r>
              <w:t xml:space="preserve">The direct divine commissioning of Joshua; the cloud-pillar presence — the same presence that has led Israel since Sinai — is the guarantee</w:t>
            </w:r>
          </w:p>
        </w:tc>
      </w:tr>
      <w:tr>
        <w:tc>
          <w:tcPr/>
          <w:p>
            <w:pPr>
              <w:pStyle w:val="Compact"/>
            </w:pPr>
            <w:r>
              <w:t xml:space="preserve">16–18</w:t>
            </w:r>
          </w:p>
        </w:tc>
        <w:tc>
          <w:tcPr/>
          <w:p>
            <w:pPr>
              <w:pStyle w:val="Compact"/>
            </w:pPr>
            <w:r>
              <w:t xml:space="preserve">God declares prophetically that Israel will break the covenant, pursue foreign gods, be forsaken by God, experience disaster;</w:t>
            </w:r>
            <w:r>
              <w:t xml:space="preserve"> </w:t>
            </w:r>
            <w:r>
              <w:t xml:space="preserve">“many evils and troubles will come upon them”</w:t>
            </w:r>
          </w:p>
        </w:tc>
        <w:tc>
          <w:tcPr/>
          <w:p>
            <w:pPr>
              <w:pStyle w:val="Compact"/>
            </w:pPr>
            <w:r>
              <w:t xml:space="preserve">This is not threat but disclosure — sovereign foreknowledge stated as certain; note that the cause of the desertion is Israel’s, not God’s:</w:t>
            </w:r>
            <w:r>
              <w:t xml:space="preserve"> </w:t>
            </w:r>
            <w:r>
              <w:t xml:space="preserve">“I will hide my face because of all the evil they have done”</w:t>
            </w:r>
          </w:p>
        </w:tc>
      </w:tr>
      <w:tr>
        <w:tc>
          <w:tcPr/>
          <w:p>
            <w:pPr>
              <w:pStyle w:val="Compact"/>
            </w:pPr>
            <w:r>
              <w:t xml:space="preserve">19–22</w:t>
            </w:r>
          </w:p>
        </w:tc>
        <w:tc>
          <w:tcPr/>
          <w:p>
            <w:pPr>
              <w:pStyle w:val="Compact"/>
            </w:pPr>
            <w:r>
              <w:t xml:space="preserve">God commands Moses to write the Song and teach it to Israel; the Song is to be a witness against Israel when they sin; Moses writes and teaches the Song that day</w:t>
            </w:r>
          </w:p>
        </w:tc>
        <w:tc>
          <w:tcPr/>
          <w:p>
            <w:pPr>
              <w:pStyle w:val="Compact"/>
            </w:pPr>
            <w:r>
              <w:t xml:space="preserve">The Song is God’s provision within the failure — a prophetic witness embedded in Israel’s worship life that will testify against them and implicitly call them back</w:t>
            </w:r>
          </w:p>
        </w:tc>
      </w:tr>
      <w:tr>
        <w:tc>
          <w:tcPr/>
          <w:p>
            <w:pPr>
              <w:pStyle w:val="Compact"/>
            </w:pPr>
            <w:r>
              <w:t xml:space="preserve">23</w:t>
            </w:r>
          </w:p>
        </w:tc>
        <w:tc>
          <w:tcPr/>
          <w:p>
            <w:pPr>
              <w:pStyle w:val="Compact"/>
            </w:pPr>
            <w:r>
              <w:t xml:space="preserve">The LORD directly commissions Joshua:</w:t>
            </w:r>
            <w:r>
              <w:t xml:space="preserve"> </w:t>
            </w:r>
            <w:r>
              <w:t xml:space="preserve">“Be strong and courageous, for you shall bring the people of Israel into the land… and I will be with you”</w:t>
            </w:r>
          </w:p>
        </w:tc>
        <w:tc>
          <w:tcPr/>
          <w:p>
            <w:pPr>
              <w:pStyle w:val="Compact"/>
            </w:pPr>
            <w:r>
              <w:t xml:space="preserve">The divine commissioning completes the human commission of vv. 7–8; note</w:t>
            </w:r>
            <w:r>
              <w:t xml:space="preserve"> </w:t>
            </w:r>
            <w:r>
              <w:t xml:space="preserve">“I will be with you”</w:t>
            </w:r>
            <w:r>
              <w:t xml:space="preserve"> </w:t>
            </w:r>
            <w:r>
              <w:t xml:space="preserve">— the ground is the same</w:t>
            </w:r>
          </w:p>
        </w:tc>
      </w:tr>
      <w:tr>
        <w:tc>
          <w:tcPr/>
          <w:p>
            <w:pPr>
              <w:pStyle w:val="Compact"/>
            </w:pPr>
            <w:r>
              <w:t xml:space="preserve">24–27</w:t>
            </w:r>
          </w:p>
        </w:tc>
        <w:tc>
          <w:tcPr/>
          <w:p>
            <w:pPr>
              <w:pStyle w:val="Compact"/>
            </w:pPr>
            <w:r>
              <w:t xml:space="preserve">Moses finishes writing the Torah; delivers it to the Levites; commands them to place it beside the ark of the covenant; calls it a witness against Israel, knowing their rebellion and stubbornness</w:t>
            </w:r>
          </w:p>
        </w:tc>
        <w:tc>
          <w:tcPr/>
          <w:p>
            <w:pPr>
              <w:pStyle w:val="Compact"/>
            </w:pPr>
            <w:r>
              <w:t xml:space="preserve">The Torah alongside the ark — the two instruments of covenant: the mercy seat (God’s presence) and the Word (God’s standard); both accompany Israel into the land</w:t>
            </w:r>
          </w:p>
        </w:tc>
      </w:tr>
      <w:tr>
        <w:tc>
          <w:tcPr/>
          <w:p>
            <w:pPr>
              <w:pStyle w:val="Compact"/>
            </w:pPr>
            <w:r>
              <w:t xml:space="preserve">28–30</w:t>
            </w:r>
          </w:p>
        </w:tc>
        <w:tc>
          <w:tcPr/>
          <w:p>
            <w:pPr>
              <w:pStyle w:val="Compact"/>
            </w:pPr>
            <w:r>
              <w:t xml:space="preserve">Moses assembles the tribal elders and officers; announces he will speak the Song before them; heaven and earth called as witnesses</w:t>
            </w:r>
          </w:p>
        </w:tc>
        <w:tc>
          <w:tcPr/>
          <w:p>
            <w:pPr>
              <w:pStyle w:val="Compact"/>
            </w:pPr>
            <w:r>
              <w:t xml:space="preserve">The Song is formally introduced as a covenant witness ceremony;</w:t>
            </w:r>
            <w:r>
              <w:t xml:space="preserve"> </w:t>
            </w:r>
            <w:r>
              <w:t xml:space="preserve">“heaven and earth”</w:t>
            </w:r>
            <w:r>
              <w:t xml:space="preserve"> </w:t>
            </w:r>
            <w:r>
              <w:t xml:space="preserve">echoes the cosmic witnesses of the covenant itself (cf. Deuteronomy 4:26)</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Moses’ Farewell Charge to Israel: The LORD Goes Before You</w:t>
            </w:r>
          </w:p>
        </w:tc>
      </w:tr>
      <w:tr>
        <w:tc>
          <w:tcPr/>
          <w:p>
            <w:pPr>
              <w:pStyle w:val="Compact"/>
            </w:pPr>
            <w:r>
              <w:t xml:space="preserve">2</w:t>
            </w:r>
          </w:p>
        </w:tc>
        <w:tc>
          <w:tcPr/>
          <w:p>
            <w:pPr>
              <w:pStyle w:val="Compact"/>
            </w:pPr>
            <w:r>
              <w:t xml:space="preserve">7–8</w:t>
            </w:r>
          </w:p>
        </w:tc>
        <w:tc>
          <w:tcPr/>
          <w:p>
            <w:pPr>
              <w:pStyle w:val="Compact"/>
            </w:pPr>
            <w:r>
              <w:t xml:space="preserve">Moses’ Public Charge to Joshua: The Same Ground, The Same Promise</w:t>
            </w:r>
          </w:p>
        </w:tc>
      </w:tr>
      <w:tr>
        <w:tc>
          <w:tcPr/>
          <w:p>
            <w:pPr>
              <w:pStyle w:val="Compact"/>
            </w:pPr>
            <w:r>
              <w:t xml:space="preserve">3</w:t>
            </w:r>
          </w:p>
        </w:tc>
        <w:tc>
          <w:tcPr/>
          <w:p>
            <w:pPr>
              <w:pStyle w:val="Compact"/>
            </w:pPr>
            <w:r>
              <w:t xml:space="preserve">9–13</w:t>
            </w:r>
          </w:p>
        </w:tc>
        <w:tc>
          <w:tcPr/>
          <w:p>
            <w:pPr>
              <w:pStyle w:val="Compact"/>
            </w:pPr>
            <w:r>
              <w:t xml:space="preserve">The Torah Deposited: God’s Word Outlasts God’s Servant</w:t>
            </w:r>
          </w:p>
        </w:tc>
      </w:tr>
      <w:tr>
        <w:tc>
          <w:tcPr/>
          <w:p>
            <w:pPr>
              <w:pStyle w:val="Compact"/>
            </w:pPr>
            <w:r>
              <w:t xml:space="preserve">4</w:t>
            </w:r>
          </w:p>
        </w:tc>
        <w:tc>
          <w:tcPr/>
          <w:p>
            <w:pPr>
              <w:pStyle w:val="Compact"/>
            </w:pPr>
            <w:r>
              <w:t xml:space="preserve">14–22</w:t>
            </w:r>
          </w:p>
        </w:tc>
        <w:tc>
          <w:tcPr/>
          <w:p>
            <w:pPr>
              <w:pStyle w:val="Compact"/>
            </w:pPr>
            <w:r>
              <w:t xml:space="preserve">The Divine Commissioning: Foreknowledge, Failure, and the Embedded Witness</w:t>
            </w:r>
          </w:p>
        </w:tc>
      </w:tr>
      <w:tr>
        <w:tc>
          <w:tcPr/>
          <w:p>
            <w:pPr>
              <w:pStyle w:val="Compact"/>
            </w:pPr>
            <w:r>
              <w:t xml:space="preserve">5</w:t>
            </w:r>
          </w:p>
        </w:tc>
        <w:tc>
          <w:tcPr/>
          <w:p>
            <w:pPr>
              <w:pStyle w:val="Compact"/>
            </w:pPr>
            <w:r>
              <w:t xml:space="preserve">23–30</w:t>
            </w:r>
          </w:p>
        </w:tc>
        <w:tc>
          <w:tcPr/>
          <w:p>
            <w:pPr>
              <w:pStyle w:val="Compact"/>
            </w:pPr>
            <w:r>
              <w:t xml:space="preserve">The Song Commanded: A Witness That Will Outlast Israel’s Faithfulness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transfers leadership and deposits His Word to sustain Israel through succession, failure, and the future.</w:t>
      </w:r>
    </w:p>
    <w:p>
      <w:pPr>
        <w:pStyle w:val="BodyText"/>
      </w:pPr>
      <w:r>
        <w:rPr>
          <w:b/>
          <w:bCs/>
        </w:rPr>
        <w:t xml:space="preserve">Primary Claim:</w:t>
      </w:r>
      <w:r>
        <w:t xml:space="preserve"> </w:t>
      </w:r>
      <w:r>
        <w:t xml:space="preserve">God is assuring both Israel and her new leader that His own presence — not human constancy — is the ground of confidence for the road ahead; and He is doing so while refusing to pretend that human failure is not coming, but rather embedding within Israel’s life the very Word and witness that will outlast that failure.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comfort of being led by Someone who has already gone ahead.</w:t>
      </w:r>
      <w:r>
        <w:t xml:space="preserve"> </w:t>
      </w:r>
      <w:r>
        <w:rPr>
          <w:i/>
          <w:iCs/>
        </w:rPr>
        <w:t xml:space="preserve">(Mind/Belief)</w:t>
      </w:r>
      <w:r>
        <w:t xml:space="preserve"> </w:t>
      </w:r>
      <w:r>
        <w:t xml:space="preserve">The repeated phrase</w:t>
      </w:r>
      <w:r>
        <w:t xml:space="preserve"> </w:t>
      </w:r>
      <w:r>
        <w:t xml:space="preserve">“the LORD goes before you”</w:t>
      </w:r>
      <w:r>
        <w:t xml:space="preserve"> </w:t>
      </w:r>
      <w:r>
        <w:t xml:space="preserve">(vv. 3, 8) is not poetic decoration — it is a specific theological claim about the structure of God’s providential action. God does not send His people into an unknown future; He enters it first. The believer who is facing a genuinely frightening transition — a new city, a collapsed relationship, a changed diagnosis — is not being asked to be brave in the absence of knowledge; they are being invited to trust the One who has already gone ahead of them into what they cannot yet see. Courage in this passage is not self-generated; it is the rational response to a fact: the LORD your God is already there.</w:t>
      </w:r>
    </w:p>
    <w:p>
      <w:pPr>
        <w:pStyle w:val="BodyText"/>
      </w:pPr>
      <w:r>
        <w:rPr>
          <w:b/>
          <w:bCs/>
        </w:rPr>
        <w:t xml:space="preserve">2. The grief of failing leaders need not become the paralysis of their people.</w:t>
      </w:r>
      <w:r>
        <w:t xml:space="preserve"> </w:t>
      </w:r>
      <w:r>
        <w:rPr>
          <w:i/>
          <w:iCs/>
        </w:rPr>
        <w:t xml:space="preserve">(Affections/Worship)</w:t>
      </w:r>
      <w:r>
        <w:t xml:space="preserve"> </w:t>
      </w:r>
      <w:r>
        <w:t xml:space="preserve">Moses is dying. He names this plainly. And yet the chapter does not permit grief at Moses’ departure to become despair about Israel’s future, precisely because Moses himself refuses to let his death be the controlling fact. He systematically redirects every ground of confidence from himself to the LORD. This is an invitation to grieve rightly — to mourn the loss of faithful leadership, mentors, pastors, and parents without treating that loss as the loss of the foundation. Grief for good leaders honors them; despair assumes they were more essential than the God they served. Deuteronomy 31 invites sorrow without collapse, because the One who was before Moses is still there after him.</w:t>
      </w:r>
    </w:p>
    <w:p>
      <w:pPr>
        <w:pStyle w:val="BodyText"/>
      </w:pPr>
      <w:r>
        <w:rPr>
          <w:b/>
          <w:bCs/>
        </w:rPr>
        <w:t xml:space="preserve">3. The written and publicly read Word is God’s institutional provision for the long haul of faith.</w:t>
      </w:r>
      <w:r>
        <w:t xml:space="preserve"> </w:t>
      </w:r>
      <w:r>
        <w:rPr>
          <w:i/>
          <w:iCs/>
        </w:rPr>
        <w:t xml:space="preserve">(Mind/Belief)</w:t>
      </w:r>
      <w:r>
        <w:t xml:space="preserve"> </w:t>
      </w:r>
      <w:r>
        <w:t xml:space="preserve">The deposit of the Torah in verses 9–13 and 24–26 is not record-keeping — it is an act of covenantal provision. God is establishing that His people’s formation cannot depend on the presence of extraordinary individuals (Moses will die; prophets will be silenced; circumstances will change). The public, regular, comprehensive reading of Scripture — to everyone, including children and foreigners — is the ongoing means by which God continues to speak to His people across generations. The practical implication is direct: the congregation that marginalizes the public reading and preaching of Scripture in favor of more experiential or programmatic approaches is cutting itself off from the primary instrument God established for communal formation. Come to where the Word is read. Bring your children. Let the text form them before the world does.</w:t>
      </w:r>
    </w:p>
    <w:p>
      <w:pPr>
        <w:pStyle w:val="BodyText"/>
      </w:pPr>
      <w:r>
        <w:rPr>
          <w:b/>
          <w:bCs/>
        </w:rPr>
        <w:t xml:space="preserve">4. Honest acknowledgment of our tendency to fail is not faithlessness — it is the beginning of maturity.</w:t>
      </w:r>
      <w:r>
        <w:t xml:space="preserve"> </w:t>
      </w:r>
      <w:r>
        <w:rPr>
          <w:i/>
          <w:iCs/>
        </w:rPr>
        <w:t xml:space="preserve">(Affections/Worship)</w:t>
      </w:r>
      <w:r>
        <w:t xml:space="preserve"> </w:t>
      </w:r>
      <w:r>
        <w:t xml:space="preserve">God does not hide from Israel the fact that they will break the covenant. He names it, commissions instruments to witness against it, and embeds those instruments in Israel’s worship before the failure occurs. There is no pretense in this chapter. The appropriate response is not self-flagellation or resignation but the sober, clear-eyed acknowledgment that we are the kind of people who drift, who exchange the living God for idols, who forget in prosperity what we learned in the wilderness. This is not pessimism — it is the realism that makes grace genuinely good news. The person who refuses to acknowledge their pattern of spiritual failure cannot use the instruments God has provided against that failure. Receive the Song. Let it name what you are prone to do. Let it call you back before you are too far gone to hear it.</w:t>
      </w:r>
    </w:p>
    <w:p>
      <w:pPr>
        <w:pStyle w:val="BodyText"/>
      </w:pPr>
      <w:r>
        <w:rPr>
          <w:b/>
          <w:bCs/>
        </w:rPr>
        <w:t xml:space="preserve">5. Leadership that centers itself rather than the God who commissions it has already abandoned the source of its authority.</w:t>
      </w:r>
      <w:r>
        <w:t xml:space="preserve"> </w:t>
      </w:r>
      <w:r>
        <w:rPr>
          <w:i/>
          <w:iCs/>
        </w:rPr>
        <w:t xml:space="preserve">(Will/Behavior)</w:t>
      </w:r>
      <w:r>
        <w:t xml:space="preserve"> </w:t>
      </w:r>
      <w:r>
        <w:t xml:space="preserve">Moses does something remarkable: as he is commissioning Joshua, he systematically ensures that Joshua’s confidence is grounded in the LORD, not in Moses’ legacy, not in Joshua’s track record, and not in the resources available for the campaign. The charge is structurally shaped to prevent leadership-confidence from becoming leader-confidence. The concrete application for any person in a role of leadership or teaching — whether of a church, a family, a classroom, or a team — is to examine whether their leadership is primarily communicating their own vision, personality, and competence, or is actively directing those they lead to the One who has already gone before. Leadership in this passage is a form of pointing. Where does yours point?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31 teaches that God governs the future comprehensively — including the future failure of His own covenant people — without either causing that failure or being surprised or defeated by it. He acts</w:t>
      </w:r>
      <w:r>
        <w:t xml:space="preserve"> </w:t>
      </w:r>
      <w:r>
        <w:rPr>
          <w:i/>
          <w:iCs/>
        </w:rPr>
        <w:t xml:space="preserve">before</w:t>
      </w:r>
      <w:r>
        <w:t xml:space="preserve"> </w:t>
      </w:r>
      <w:r>
        <w:t xml:space="preserve">the failure by providing the instruments (the written Word, the Song) that will function</w:t>
      </w:r>
      <w:r>
        <w:t xml:space="preserve"> </w:t>
      </w:r>
      <w:r>
        <w:rPr>
          <w:i/>
          <w:iCs/>
        </w:rPr>
        <w:t xml:space="preserve">within</w:t>
      </w:r>
      <w:r>
        <w:t xml:space="preserve"> </w:t>
      </w:r>
      <w:r>
        <w:t xml:space="preserve">the failure as witnesses and calls to return. This reveals something essential about God’s character: He is not a sovereign who demands faithfulness as a condition for presence, nor a sentimental deity who ignores unfaithfulness. He is a covenant God who maintains the integrity of His standards, foreknows the violations, and embeds His grace into the very situation He knows will become the venue for those violations. The theological center is God’s prevenient action — He goes before, He deposits, He commissions — and that prevenient action is the stable ground for human obedience.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31 is a significant canonical witness to the sufficiency and necessity of Scripture as the means of God’s ongoing covenantal government of His people. The Torah-deposit is not Moses’ personal archive — it is God’s provision for a community that will outlive its founding leader and will fail its covenant obligations, yet whose God has not abandoned them. This pattern is the Old Covenant form of what the Reformation articulated as</w:t>
      </w:r>
      <w:r>
        <w:t xml:space="preserve"> </w:t>
      </w:r>
      <w:r>
        <w:rPr>
          <w:i/>
          <w:iCs/>
        </w:rPr>
        <w:t xml:space="preserve">sola scriptura</w:t>
      </w:r>
      <w:r>
        <w:t xml:space="preserve">: the Word written and publicly proclaimed is the normative, sufficient instrument by which God governs, forms, rebukes, and restores His church across all generations. The passage also grounds Reformed confidence in divine sovereignty without fatalism: God’s foreknowledge of Israel’s apostasy does not make their sin inevitable in a way that removes responsibility; it makes His provision for them all the more astonishing — He loved them enough to give them what they would need to return to Him</w:t>
      </w:r>
      <w:r>
        <w:t xml:space="preserve"> </w:t>
      </w:r>
      <w:r>
        <w:rPr>
          <w:i/>
          <w:iCs/>
        </w:rPr>
        <w:t xml:space="preserve">after</w:t>
      </w:r>
      <w:r>
        <w:t xml:space="preserve"> </w:t>
      </w:r>
      <w:r>
        <w:t xml:space="preserve">they had broken what they swore to keep. This is the logic of grace operative within the Old Covenant, pointing toward the New Covenant’s greater and final word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gone before everything you are afraid of. He was not waiting to see whether Moses would make it; He was already in Canaan. He was not waiting to see whether Israel would hold together; He had already embedded His Word into their life for the long failure ahead. The ground of your confidence — in every succession, every transition, every season where the human leadership you depended on is gone or failing — is not the quality of your courage or the reliability of those around you. It is the presence of the One who goes before, deposits His Word, and commissions His people with the only guarantee that cannot be revoked:</w:t>
      </w:r>
      <w:r>
        <w:t xml:space="preserve"> </w:t>
      </w:r>
      <w:r>
        <w:t xml:space="preserve">“I will be with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w:t>
      </w:r>
      <w:r>
        <w:rPr>
          <w:b/>
          <w:bCs/>
        </w:rPr>
        <w:t xml:space="preserve"> </w:t>
      </w:r>
      <w:r>
        <w:rPr>
          <w:b/>
          <w:bCs/>
        </w:rPr>
        <w:t xml:space="preserve">“be strong and courageous”</w:t>
      </w:r>
      <w:r>
        <w:rPr>
          <w:b/>
          <w:bCs/>
        </w:rPr>
        <w:t xml:space="preserve"> </w:t>
      </w:r>
      <w:r>
        <w:rPr>
          <w:b/>
          <w:bCs/>
        </w:rPr>
        <w:t xml:space="preserve">to a motivational call.</w:t>
      </w:r>
      <w:r>
        <w:t xml:space="preserve"> </w:t>
      </w:r>
      <w:r>
        <w:t xml:space="preserve">This phrase appears twice in the chapter (vv. 6, 7–8) and will appear four more times in Joshua 1. The near-universal error is to preach it as an imperative requiring an act of will —</w:t>
      </w:r>
      <w:r>
        <w:t xml:space="preserve"> </w:t>
      </w:r>
      <w:r>
        <w:t xml:space="preserve">“choose to be brave”</w:t>
      </w:r>
      <w:r>
        <w:t xml:space="preserve"> </w:t>
      </w:r>
      <w:r>
        <w:t xml:space="preserve">— rather than as a response invited by an indicative —</w:t>
      </w:r>
      <w:r>
        <w:t xml:space="preserve"> </w:t>
      </w:r>
      <w:r>
        <w:t xml:space="preserve">“the LORD goes before you; therefore, you can be strong.”</w:t>
      </w:r>
      <w:r>
        <w:t xml:space="preserve"> </w:t>
      </w:r>
      <w:r>
        <w:t xml:space="preserve">The imperative derives its force entirely from the theological ground stated in the same breath. Preach the indicative first, then the imperative, and make clear that the courage being called for is trust-courage, not willpower-courage.</w:t>
      </w:r>
    </w:p>
    <w:p>
      <w:pPr>
        <w:numPr>
          <w:ilvl w:val="0"/>
          <w:numId w:val="1002"/>
        </w:numPr>
      </w:pPr>
      <w:r>
        <w:rPr>
          <w:b/>
          <w:bCs/>
        </w:rPr>
        <w:t xml:space="preserve">Treating the chapter primarily as a biography of Moses’ final days.</w:t>
      </w:r>
      <w:r>
        <w:t xml:space="preserve"> </w:t>
      </w:r>
      <w:r>
        <w:t xml:space="preserve">It is easy to let the emotional resonance of Moses’ farewell dominate the exposition — Moses the great leader, passing the baton, going out well. This is not wrong, but it is the second story, not the first. The chapter’s weight is theological: what God provides, what God knows, what God commissions. Moses is the instrument, not the subject. A sermon centered on Moses’ exemplary leadership will produce admiration; a sermon centered on what God does in this chapter will produce confidence.</w:t>
      </w:r>
    </w:p>
    <w:p>
      <w:pPr>
        <w:numPr>
          <w:ilvl w:val="0"/>
          <w:numId w:val="1002"/>
        </w:numPr>
      </w:pPr>
      <w:r>
        <w:rPr>
          <w:b/>
          <w:bCs/>
        </w:rPr>
        <w:t xml:space="preserve">Skipping or softening the divine foreknowledge passage (vv. 16–22).</w:t>
      </w:r>
      <w:r>
        <w:t xml:space="preserve"> </w:t>
      </w:r>
      <w:r>
        <w:t xml:space="preserve">These verses are uncomfortable — God announcing Israel’s certain apostasy before they have even entered the land. They are frequently minimized as a parenthesis or treated as conditional. But they are central: the whole provision of the Torah-deposit and the Song makes sense only against the backdrop of anticipated failure. To omit or soften these verses is to rob the chapter of its intellectual honesty and its most striking display of grace. God gives Israel what they will need after they have broken what they promised. Preach the discomfort; it is load-bearing.</w:t>
      </w:r>
    </w:p>
    <w:p>
      <w:pPr>
        <w:numPr>
          <w:ilvl w:val="0"/>
          <w:numId w:val="1002"/>
        </w:numPr>
      </w:pPr>
      <w:r>
        <w:rPr>
          <w:b/>
          <w:bCs/>
        </w:rPr>
        <w:t xml:space="preserve">Interpreting the Torah-deposit (vv. 9–13, 24–27) as an ancient parallel to</w:t>
      </w:r>
      <w:r>
        <w:rPr>
          <w:b/>
          <w:bCs/>
        </w:rPr>
        <w:t xml:space="preserve"> </w:t>
      </w:r>
      <w:r>
        <w:rPr>
          <w:b/>
          <w:bCs/>
        </w:rPr>
        <w:t xml:space="preserve">“keeping records”</w:t>
      </w:r>
      <w:r>
        <w:rPr>
          <w:b/>
          <w:bCs/>
        </w:rPr>
        <w:t xml:space="preserve"> </w:t>
      </w:r>
      <w:r>
        <w:rPr>
          <w:b/>
          <w:bCs/>
        </w:rPr>
        <w:t xml:space="preserve">rather than as a theological statement about Scripture’s role in the community.</w:t>
      </w:r>
      <w:r>
        <w:t xml:space="preserve"> </w:t>
      </w:r>
      <w:r>
        <w:t xml:space="preserve">The deposit is not archiving — it is provision. The Levitical priests are not librarians; they are ministers of the Word charged with the community’s ongoing formation. The every-seventh-year public reading is a covenant institution, not a liturgical nicety. Contemporary applications about the church’s actual practice of reading and preaching Scripture should follow directly from this passage — and should be specific, not generalized.</w:t>
      </w:r>
    </w:p>
    <w:p>
      <w:pPr>
        <w:numPr>
          <w:ilvl w:val="0"/>
          <w:numId w:val="1002"/>
        </w:numPr>
      </w:pPr>
      <w:r>
        <w:rPr>
          <w:b/>
          <w:bCs/>
        </w:rPr>
        <w:t xml:space="preserve">Missing the intergenerational dimension of verses 11–13.</w:t>
      </w:r>
      <w:r>
        <w:t xml:space="preserve"> </w:t>
      </w:r>
      <w:r>
        <w:t xml:space="preserve">The command is that children who do not yet know the Torah must hear it read so that they may learn to fear the LORD. This is not a proof text for</w:t>
      </w:r>
      <w:r>
        <w:t xml:space="preserve"> </w:t>
      </w:r>
      <w:r>
        <w:t xml:space="preserve">“children’s ministry”</w:t>
      </w:r>
      <w:r>
        <w:t xml:space="preserve"> </w:t>
      </w:r>
      <w:r>
        <w:t xml:space="preserve">in any generic sense — it is a specific vision of the community’s worship life as the primary vehicle for transmitting covenantal faith to the next generation. The family and the gathered assembly are the institutions God designates; the application to parents and to churches about deliberate, regular, communal exposure to the Word is direct and should not be passed over.</w:t>
      </w:r>
    </w:p>
    <w:p>
      <w:pPr>
        <w:numPr>
          <w:ilvl w:val="0"/>
          <w:numId w:val="1002"/>
        </w:numPr>
      </w:pPr>
      <w:r>
        <w:rPr>
          <w:b/>
          <w:bCs/>
        </w:rPr>
        <w:t xml:space="preserve">Failing to connect the Song of Moses (introduced here, given in chapter 32) to its purpose as a witness against apostasy.</w:t>
      </w:r>
      <w:r>
        <w:t xml:space="preserve"> </w:t>
      </w:r>
      <w:r>
        <w:t xml:space="preserve">Preachers who treat the Song’s introduction in verses 19–22 as a transitional footnote miss its theological function: God is embedding a self-interpreting prophetic witness into Israel’s musical and worship life before the failure He knows is coming. The Song is not celebration — it is both accusation and invitation. This is a remarkable act of grace: God preparing the instrument of their rebuke before the offense, and placing it in a form they will sing and remember. The implication for how the church uses Scripture — particularly the hard texts — in its worship life is worth pressing.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2026-07-14T21:02:11Z</dcterms:created>
  <dcterms:modified xsi:type="dcterms:W3CDTF">2026-07-14T21:02:11Z</dcterms:modified>
</cp:coreProperties>
</file>

<file path=docProps/custom.xml><?xml version="1.0" encoding="utf-8"?>
<Properties xmlns="http://schemas.openxmlformats.org/officeDocument/2006/custom-properties" xmlns:vt="http://schemas.openxmlformats.org/officeDocument/2006/docPropsVTypes"/>
</file>